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t xml:space="preserve">1.1. </w:t>
      </w:r>
      <w:r>
        <w:t>Арендодатель</w:t>
      </w:r>
      <w:r>
        <w:rPr>
          <w:sz w:val="24"/>
        </w:rPr>
        <w:t xml:space="preserve"> обязуется предоставить  во временное  владение  и пользование, а   Арендатор  п</w:t>
      </w:r>
      <w:r>
        <w:rPr>
          <w:sz w:val="24"/>
        </w:rPr>
        <w:t>рин</w:t>
      </w:r>
      <w:r>
        <w:rPr>
          <w:sz w:val="24"/>
        </w:rPr>
        <w:t>ять  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sz w:val="24"/>
        </w:rPr>
        <w:t xml:space="preserve"> </w:t>
      </w:r>
      <w:r>
        <w:rPr>
          <w:rFonts w:ascii="Times New Roman" w:hAnsi="Times New Roman"/>
          <w:color w:themeColor="text1" w:val="000000"/>
          <w:sz w:val="24"/>
        </w:rPr>
        <w:t>23:39:0710001:682</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858</w:t>
      </w:r>
      <w:r>
        <w:rPr>
          <w:sz w:val="24"/>
        </w:rPr>
        <w:t xml:space="preserve"> </w:t>
      </w:r>
      <w:r>
        <w:rPr>
          <w:sz w:val="24"/>
        </w:rPr>
        <w:t>кв.м</w:t>
      </w:r>
      <w:r>
        <w:rPr>
          <w:sz w:val="24"/>
        </w:rPr>
        <w:t>., расположен</w:t>
      </w:r>
      <w:r>
        <w:rPr>
          <w:sz w:val="24"/>
        </w:rPr>
        <w:t>ный по адресу:</w:t>
      </w:r>
      <w:r>
        <w:rPr>
          <w:sz w:val="24"/>
        </w:rPr>
        <w:t xml:space="preserve"> </w:t>
      </w:r>
      <w:r>
        <w:rPr>
          <w:rFonts w:ascii="Times New Roman" w:hAnsi="Times New Roman"/>
          <w:color w:themeColor="text1" w:val="000000"/>
          <w:sz w:val="24"/>
        </w:rPr>
        <w:t>Российская Федерация, Краснодарский край, Белореченский муниципальный район, Родниковское с/п., п. Родники, ул. Лесная</w:t>
      </w:r>
      <w:r>
        <w:rPr>
          <w:sz w:val="24"/>
        </w:rPr>
        <w:t xml:space="preserve"> </w:t>
      </w:r>
      <w:r>
        <w:rPr>
          <w:sz w:val="24"/>
        </w:rPr>
        <w:t xml:space="preserve">(далее - Участок), вид разрешенного использования: </w:t>
      </w:r>
      <w:r>
        <w:rPr>
          <w:sz w:val="24"/>
        </w:rPr>
        <w:t>для индивидуального жилищного строительства</w:t>
      </w:r>
      <w:r>
        <w:rPr>
          <w:sz w:val="24"/>
        </w:rPr>
        <w:t>.</w:t>
      </w:r>
    </w:p>
    <w:p w14:paraId="0A000000">
      <w:pPr>
        <w:tabs>
          <w:tab w:leader="none" w:pos="180" w:val="left"/>
        </w:tabs>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 </w:t>
      </w:r>
      <w:r>
        <w:rPr>
          <w:color w:themeColor="text1" w:val="000000"/>
          <w:sz w:val="24"/>
        </w:rPr>
        <w:t>105250,86</w:t>
      </w:r>
      <w:r>
        <w:rPr>
          <w:color w:themeColor="text1" w:val="000000"/>
          <w:sz w:val="24"/>
        </w:rPr>
        <w:t xml:space="preserve"> руб. (</w:t>
      </w:r>
      <w:r>
        <w:rPr>
          <w:sz w:val="24"/>
        </w:rPr>
        <w:t>сто пять тысяч двести пятьдесят рублей 86 копе</w:t>
      </w:r>
      <w:r>
        <w:rPr>
          <w:color w:themeColor="text1" w:val="000000"/>
          <w:sz w:val="24"/>
        </w:rPr>
        <w:t>ек</w:t>
      </w:r>
      <w:r>
        <w:rPr>
          <w:sz w:val="24"/>
        </w:rPr>
        <w:t>)</w:t>
      </w:r>
      <w:r>
        <w:rPr>
          <w:sz w:val="24"/>
        </w:rPr>
        <w:t>, перечисленная Арендатором для участия в торгах по продаже права на заключение договора аренды зе</w:t>
      </w:r>
      <w:r>
        <w:rPr>
          <w:sz w:val="24"/>
        </w:rPr>
        <w:t>мельного участка, засчитывается в счет арендной платы по договору за первый</w:t>
      </w:r>
      <w:r>
        <w:rPr>
          <w:sz w:val="24"/>
        </w:rPr>
        <w:t xml:space="preserve">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rPr>
          <w:sz w:val="24"/>
        </w:rPr>
        <w:t>2.2. Годовой размер арендной платы устанавливается по результатам торгов и составляет _________ (____________________________________) ру</w:t>
      </w:r>
      <w:r>
        <w:t xml:space="preserve">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rPr>
          <w:shd w:fill="FFD821" w:val="clear"/>
        </w:rPr>
        <w:t>12</w:t>
      </w:r>
      <w: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pPr>
      <w:r>
        <w:t>4.1.21. При хозяйственном освоении Участка соблюдать ограничения на использование территорий, попадающих в границы охранных зон.</w:t>
      </w:r>
    </w:p>
    <w:p w14:paraId="48000000">
      <w:pPr>
        <w:ind/>
        <w:jc w:val="both"/>
      </w:pPr>
      <w:r>
        <w:t>4.1.22. Нести другие обязанности, установленные законодательством Российской Федерации.</w:t>
      </w:r>
    </w:p>
    <w:p w14:paraId="49000000">
      <w:pPr>
        <w:ind/>
        <w:jc w:val="both"/>
      </w:pPr>
      <w:r>
        <w:t xml:space="preserve">4.1.23. </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rPr>
      </w:pPr>
      <w:r>
        <w:rPr>
          <w:color w:val="000000"/>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rPr>
      </w:pPr>
    </w:p>
    <w:p w14:paraId="71000000">
      <w:pPr>
        <w:ind/>
        <w:jc w:val="center"/>
        <w:rPr>
          <w:b w:val="1"/>
        </w:rPr>
      </w:pPr>
      <w:r>
        <w:rPr>
          <w:b w:val="1"/>
        </w:rPr>
        <w:t>9. Особые условия</w:t>
      </w:r>
    </w:p>
    <w:p w14:paraId="72000000">
      <w:pPr>
        <w:ind/>
        <w:jc w:val="both"/>
      </w:pPr>
    </w:p>
    <w:p w14:paraId="73000000">
      <w:pPr>
        <w:ind/>
        <w:jc w:val="both"/>
        <w:rPr>
          <w:sz w:val="28"/>
          <w:highlight w:val="white"/>
        </w:rPr>
      </w:pPr>
      <w:r>
        <w:t>9.1</w:t>
      </w:r>
      <w:r>
        <w:rPr>
          <w:sz w:val="24"/>
        </w:rPr>
        <w:t>. Участок</w:t>
      </w:r>
      <w:r>
        <w:rPr>
          <w:sz w:val="28"/>
        </w:rPr>
        <w:t xml:space="preserve"> </w:t>
      </w:r>
      <w:r>
        <w:rPr>
          <w:color w:themeColor="text1" w:val="000000"/>
          <w:sz w:val="24"/>
        </w:rPr>
        <w:t xml:space="preserve">расположен в зоне подтопления территории при половодьях и паводках р. </w:t>
      </w:r>
      <w:r>
        <w:rPr>
          <w:color w:themeColor="text1" w:val="000000"/>
          <w:sz w:val="24"/>
        </w:rPr>
        <w:t>Келермес</w:t>
      </w:r>
      <w:r>
        <w:rPr>
          <w:color w:themeColor="text1" w:val="000000"/>
          <w:sz w:val="24"/>
        </w:rPr>
        <w:t xml:space="preserve">, р. Белая 1% обеспеченности (ЗОУИТ 23:39-6.1350), согласно документам территориального планирования Родниковского сельского поселения - в ориентировочной границе санитарно-защитной зоны от производственных, сельскохозяйственных предприятий и объектов специального назначения в соответствии с СанПиН 2.2.1/2.1.1.1200-03, в третьем поясе зоны санитарной </w:t>
      </w:r>
      <w:r>
        <w:rPr>
          <w:color w:themeColor="text1" w:val="000000"/>
          <w:sz w:val="24"/>
        </w:rPr>
        <w:t>охраны источников питьевого водоснабжения.</w:t>
      </w:r>
      <w:r>
        <w:rPr>
          <w:color w:themeColor="text1" w:val="000000"/>
          <w:sz w:val="24"/>
        </w:rPr>
        <w:t xml:space="preserve"> Новое строительство, связанное с нарушением почвенного покрова, производится при обязательном согласовании с Управлением </w:t>
      </w:r>
      <w:r>
        <w:rPr>
          <w:color w:themeColor="text1" w:val="000000"/>
          <w:sz w:val="24"/>
        </w:rPr>
        <w:t>Роспотребнадзора</w:t>
      </w:r>
      <w:r>
        <w:rPr>
          <w:color w:themeColor="text1" w:val="000000"/>
          <w:sz w:val="24"/>
        </w:rPr>
        <w:t xml:space="preserve"> по Краснодарскому </w:t>
      </w:r>
      <w:r>
        <w:rPr>
          <w:color w:themeColor="text1" w:val="000000"/>
          <w:sz w:val="24"/>
        </w:rPr>
        <w:t>краю</w:t>
      </w:r>
      <w:r>
        <w:rPr>
          <w:color w:themeColor="text1" w:val="000000"/>
          <w:sz w:val="24"/>
        </w:rPr>
        <w:t>.</w:t>
      </w:r>
      <w:r>
        <w:rPr>
          <w:color w:themeColor="text1" w:val="000000"/>
          <w:sz w:val="24"/>
          <w:highlight w:val="white"/>
        </w:rPr>
        <w:t>В</w:t>
      </w:r>
      <w:r>
        <w:rPr>
          <w:color w:themeColor="text1" w:val="000000"/>
          <w:sz w:val="24"/>
          <w:highlight w:val="white"/>
        </w:rPr>
        <w:t xml:space="preserve"> соответствии со ст. 67.1 п. 6 Водного кодекса РФ в границах зон затопления, подтопления, в соответствии с законодательством РФ о градостроительной деятельности отнесенных к зонам с особыми условиями использования территорий, запрещаются: 1) размещение новых населенных пунктов и строительство объектов капитального строительства без </w:t>
      </w:r>
      <w:r>
        <w:rPr>
          <w:color w:themeColor="text1" w:val="000000"/>
          <w:sz w:val="24"/>
          <w:highlight w:val="white"/>
        </w:rPr>
        <w:t>обеспечения инженерной защиты таких населенных пунктов и объектов от затопления, подтопления; 2) использование сточных вод в целях регулирования плодородия почв; 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4) осуществление авиационных мер</w:t>
      </w:r>
      <w:r>
        <w:rPr>
          <w:color w:themeColor="text1" w:val="000000"/>
          <w:sz w:val="24"/>
        </w:rPr>
        <w:t xml:space="preserve"> по борьбе с вредными организмами.</w:t>
      </w:r>
      <w:r>
        <w:rPr>
          <w:color w:themeColor="text1" w:val="000000"/>
          <w:sz w:val="24"/>
        </w:rPr>
        <w:t xml:space="preserve"> </w:t>
      </w:r>
      <w:r>
        <w:rPr>
          <w:color w:themeColor="text1" w:val="000000"/>
          <w:sz w:val="24"/>
          <w:highlight w:val="white"/>
        </w:rPr>
        <w:t>Необходимо обеспечение инженерной защиты объектов от подтопления и затопления</w:t>
      </w:r>
      <w:r>
        <w:rPr>
          <w:sz w:val="24"/>
          <w:highlight w:val="white"/>
        </w:rPr>
        <w:t>.</w:t>
      </w:r>
    </w:p>
    <w:p w14:paraId="74000000">
      <w:pPr>
        <w:ind/>
        <w:jc w:val="both"/>
      </w:pPr>
      <w:r>
        <w:t>9.2.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5000000">
      <w:pPr>
        <w:ind/>
        <w:jc w:val="both"/>
      </w:pPr>
      <w:r>
        <w:t>9.</w:t>
      </w:r>
      <w:r>
        <w:t>3</w:t>
      </w:r>
      <w:r>
        <w:t>.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14:paraId="76000000">
      <w:pPr>
        <w:ind/>
        <w:jc w:val="both"/>
      </w:pPr>
      <w:r>
        <w:t>9.</w:t>
      </w:r>
      <w:r>
        <w:t>4</w:t>
      </w:r>
      <w:r>
        <w:t>. Срок действия договора субаренды не может превышать срока действия Договора.</w:t>
      </w:r>
    </w:p>
    <w:p w14:paraId="77000000">
      <w:pPr>
        <w:ind/>
        <w:jc w:val="both"/>
      </w:pPr>
      <w:r>
        <w:t>9.</w:t>
      </w:r>
      <w:r>
        <w:t>5</w:t>
      </w:r>
      <w:r>
        <w:t>. При досрочном расторжении Договора договор субаренды Участка прекращает свое действие.</w:t>
      </w:r>
    </w:p>
    <w:p w14:paraId="78000000">
      <w:pPr>
        <w:ind/>
        <w:jc w:val="both"/>
      </w:pPr>
      <w:r>
        <w:t>9.6</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9000000">
      <w:pPr>
        <w:ind/>
        <w:jc w:val="both"/>
      </w:pPr>
      <w:r>
        <w:t>9.</w:t>
      </w:r>
      <w:r>
        <w:t>7</w:t>
      </w:r>
      <w:r>
        <w:t>. При досрочном завершении строительства Арендатор обязан в десятидневный срок уведомить Арендодателя.</w:t>
      </w:r>
    </w:p>
    <w:p w14:paraId="7A000000">
      <w:pPr>
        <w:ind/>
        <w:jc w:val="both"/>
      </w:pPr>
      <w:bookmarkStart w:id="1" w:name="_heading=h.gjdgxs"/>
      <w:bookmarkEnd w:id="1"/>
      <w:r>
        <w:t>9.8</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B000000">
      <w:pPr>
        <w:ind/>
        <w:jc w:val="both"/>
      </w:pPr>
    </w:p>
    <w:p w14:paraId="7C000000">
      <w:pPr>
        <w:ind/>
        <w:jc w:val="center"/>
        <w:rPr>
          <w:b w:val="1"/>
        </w:rPr>
      </w:pPr>
      <w:r>
        <w:rPr>
          <w:b w:val="1"/>
        </w:rPr>
        <w:t>10. Заключительные положения</w:t>
      </w:r>
    </w:p>
    <w:p w14:paraId="7D000000">
      <w:pPr>
        <w:ind/>
        <w:jc w:val="center"/>
        <w:rPr>
          <w:b w:val="1"/>
        </w:rPr>
      </w:pPr>
    </w:p>
    <w:p w14:paraId="7E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F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80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1000000">
      <w:pPr>
        <w:ind/>
        <w:jc w:val="both"/>
      </w:pPr>
      <w:r>
        <w:t>10.3. В качестве неотъемлемой части Договора к нему прилагается протокол о результатах торгов.</w:t>
      </w:r>
    </w:p>
    <w:p w14:paraId="82000000">
      <w:pPr>
        <w:ind/>
        <w:jc w:val="center"/>
      </w:pPr>
      <w:r>
        <w:rPr>
          <w:b w:val="1"/>
        </w:rPr>
        <w:t>Юридические адреса и реквизиты сторон</w:t>
      </w:r>
    </w:p>
    <w:p w14:paraId="83000000"/>
    <w:p w14:paraId="84000000">
      <w:r>
        <w:t xml:space="preserve">            Арендодатель                                                                         Арендатор</w:t>
      </w:r>
    </w:p>
    <w:p w14:paraId="85000000">
      <w:r>
        <w:t xml:space="preserve">352630, Краснодарский край, </w:t>
      </w:r>
    </w:p>
    <w:p w14:paraId="86000000">
      <w:r>
        <w:t>г</w:t>
      </w:r>
      <w:r>
        <w:t>.Б</w:t>
      </w:r>
      <w:r>
        <w:t>елореченск</w:t>
      </w:r>
      <w:r>
        <w:t>, ул.</w:t>
      </w:r>
      <w:r>
        <w:t xml:space="preserve"> </w:t>
      </w:r>
      <w:r>
        <w:t>Ленина, 66</w:t>
      </w:r>
    </w:p>
    <w:p w14:paraId="87000000"/>
    <w:p w14:paraId="88000000">
      <w:pPr>
        <w:ind/>
        <w:jc w:val="center"/>
      </w:pPr>
      <w:r>
        <w:rPr>
          <w:b w:val="1"/>
        </w:rPr>
        <w:t>Подписи сторон</w:t>
      </w:r>
    </w:p>
    <w:p w14:paraId="89000000">
      <w:r>
        <w:t xml:space="preserve">             Арендодатель                                                                          Арендатор</w:t>
      </w:r>
    </w:p>
    <w:p w14:paraId="8A000000">
      <w:r>
        <w:t xml:space="preserve"> 352630, Краснодарский край, </w:t>
      </w:r>
    </w:p>
    <w:p w14:paraId="8B000000">
      <w:r>
        <w:t>г</w:t>
      </w:r>
      <w:r>
        <w:t>.Б</w:t>
      </w:r>
      <w:r>
        <w:t>елореченск</w:t>
      </w:r>
      <w:r>
        <w:t>, ул.</w:t>
      </w:r>
      <w:r>
        <w:t xml:space="preserve"> </w:t>
      </w:r>
      <w:bookmarkStart w:id="2" w:name="_GoBack"/>
      <w:bookmarkEnd w:id="2"/>
      <w:r>
        <w:t>Ленина, 66</w:t>
      </w:r>
    </w:p>
    <w:p w14:paraId="8C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Default Paragraph Font"/>
    <w:link w:val="Style_6_ch"/>
  </w:style>
  <w:style w:styleId="Style_6_ch" w:type="character">
    <w:name w:val="Default Paragraph Font"/>
    <w:link w:val="Style_6"/>
  </w:style>
  <w:style w:styleId="Style_7" w:type="paragraph">
    <w:name w:val="heading 3"/>
    <w:basedOn w:val="Style_1"/>
    <w:next w:val="Style_1"/>
    <w:link w:val="Style_7_ch"/>
    <w:uiPriority w:val="9"/>
    <w:qFormat/>
    <w:pPr>
      <w:keepNext w:val="1"/>
      <w:keepLines w:val="1"/>
      <w:spacing w:after="80" w:before="280"/>
      <w:ind/>
      <w:outlineLvl w:val="2"/>
    </w:pPr>
    <w:rPr>
      <w:b w:val="1"/>
      <w:sz w:val="28"/>
    </w:rPr>
  </w:style>
  <w:style w:styleId="Style_7_ch" w:type="character">
    <w:name w:val="heading 3"/>
    <w:basedOn w:val="Style_1_ch"/>
    <w:link w:val="Style_7"/>
    <w:rPr>
      <w:b w:val="1"/>
      <w:sz w:val="28"/>
    </w:rPr>
  </w:style>
  <w:style w:styleId="Style_8" w:type="paragraph">
    <w:name w:val="Гипертекстовая ссылка"/>
    <w:link w:val="Style_8_ch"/>
    <w:rPr>
      <w:b w:val="1"/>
      <w:color w:val="008000"/>
      <w:sz w:val="20"/>
      <w:u w:val="single"/>
    </w:rPr>
  </w:style>
  <w:style w:styleId="Style_8_ch" w:type="character">
    <w:name w:val="Гипертекстовая ссылка"/>
    <w:link w:val="Style_8"/>
    <w:rPr>
      <w:b w:val="1"/>
      <w:color w:val="008000"/>
      <w:sz w:val="20"/>
      <w:u w:val="single"/>
    </w:rPr>
  </w:style>
  <w:style w:styleId="Style_9" w:type="paragraph">
    <w:name w:val="Цветовое выделение"/>
    <w:link w:val="Style_9_ch"/>
    <w:rPr>
      <w:b w:val="1"/>
      <w:color w:val="000080"/>
      <w:sz w:val="20"/>
    </w:rPr>
  </w:style>
  <w:style w:styleId="Style_9_ch" w:type="character">
    <w:name w:val="Цветовое выделение"/>
    <w:link w:val="Style_9"/>
    <w:rPr>
      <w:b w:val="1"/>
      <w:color w:val="000080"/>
      <w:sz w:val="20"/>
    </w:rPr>
  </w:style>
  <w:style w:styleId="Style_10" w:type="paragraph">
    <w:name w:val="Таблицы (моноширинный)"/>
    <w:basedOn w:val="Style_1"/>
    <w:next w:val="Style_1"/>
    <w:link w:val="Style_10_ch"/>
    <w:pPr>
      <w:widowControl w:val="0"/>
      <w:ind/>
      <w:jc w:val="both"/>
    </w:pPr>
    <w:rPr>
      <w:rFonts w:ascii="Courier New" w:hAnsi="Courier New"/>
      <w:sz w:val="20"/>
    </w:rPr>
  </w:style>
  <w:style w:styleId="Style_10_ch" w:type="character">
    <w:name w:val="Таблицы (моноширинный)"/>
    <w:basedOn w:val="Style_1_ch"/>
    <w:link w:val="Style_10"/>
    <w:rPr>
      <w:rFonts w:ascii="Courier New" w:hAnsi="Courier New"/>
      <w:sz w:val="20"/>
    </w:rPr>
  </w:style>
  <w:style w:styleId="Style_11" w:type="paragraph">
    <w:name w:val="toc 3"/>
    <w:next w:val="Style_1"/>
    <w:link w:val="Style_11_ch"/>
    <w:uiPriority w:val="39"/>
    <w:pPr>
      <w:ind w:firstLine="0" w:left="400"/>
      <w:jc w:val="left"/>
    </w:pPr>
    <w:rPr>
      <w:rFonts w:ascii="XO Thames" w:hAnsi="XO Thames"/>
      <w:sz w:val="28"/>
    </w:rPr>
  </w:style>
  <w:style w:styleId="Style_11_ch" w:type="character">
    <w:name w:val="toc 3"/>
    <w:link w:val="Style_11"/>
    <w:rPr>
      <w:rFonts w:ascii="XO Thames" w:hAnsi="XO Thames"/>
      <w:sz w:val="28"/>
    </w:rPr>
  </w:style>
  <w:style w:styleId="Style_12" w:type="paragraph">
    <w:name w:val="Body Text Indent 3"/>
    <w:basedOn w:val="Style_1"/>
    <w:link w:val="Style_12_ch"/>
    <w:pPr>
      <w:spacing w:after="120"/>
      <w:ind w:firstLine="0" w:left="283"/>
    </w:pPr>
    <w:rPr>
      <w:sz w:val="16"/>
    </w:rPr>
  </w:style>
  <w:style w:styleId="Style_12_ch" w:type="character">
    <w:name w:val="Body Text Indent 3"/>
    <w:basedOn w:val="Style_1_ch"/>
    <w:link w:val="Style_12"/>
    <w:rPr>
      <w:sz w:val="16"/>
    </w:rPr>
  </w:style>
  <w:style w:styleId="Style_13" w:type="paragraph">
    <w:name w:val="Body Text 2"/>
    <w:basedOn w:val="Style_1"/>
    <w:link w:val="Style_13_ch"/>
    <w:pPr>
      <w:spacing w:after="120" w:line="480" w:lineRule="auto"/>
      <w:ind/>
    </w:pPr>
  </w:style>
  <w:style w:styleId="Style_13_ch" w:type="character">
    <w:name w:val="Body Text 2"/>
    <w:basedOn w:val="Style_1_ch"/>
    <w:link w:val="Style_13"/>
  </w:style>
  <w:style w:styleId="Style_14" w:type="paragraph">
    <w:name w:val="heading 5"/>
    <w:basedOn w:val="Style_1"/>
    <w:next w:val="Style_1"/>
    <w:link w:val="Style_14_ch"/>
    <w:uiPriority w:val="9"/>
    <w:qFormat/>
    <w:pPr>
      <w:keepNext w:val="1"/>
      <w:keepLines w:val="1"/>
      <w:spacing w:after="40" w:before="220"/>
      <w:ind/>
      <w:outlineLvl w:val="4"/>
    </w:pPr>
    <w:rPr>
      <w:b w:val="1"/>
      <w:sz w:val="22"/>
    </w:rPr>
  </w:style>
  <w:style w:styleId="Style_14_ch" w:type="character">
    <w:name w:val="heading 5"/>
    <w:basedOn w:val="Style_1_ch"/>
    <w:link w:val="Style_14"/>
    <w:rPr>
      <w:b w:val="1"/>
      <w:sz w:val="22"/>
    </w:rPr>
  </w:style>
  <w:style w:styleId="Style_15" w:type="paragraph">
    <w:name w:val="heading 1"/>
    <w:basedOn w:val="Style_1"/>
    <w:next w:val="Style_1"/>
    <w:link w:val="Style_15_ch"/>
    <w:uiPriority w:val="9"/>
    <w:qFormat/>
    <w:pPr>
      <w:keepNext w:val="1"/>
      <w:widowControl w:val="0"/>
      <w:spacing w:line="400" w:lineRule="exact"/>
      <w:ind w:firstLine="0" w:left="3700" w:right="3600"/>
      <w:jc w:val="both"/>
      <w:outlineLvl w:val="0"/>
    </w:pPr>
    <w:rPr>
      <w:b w:val="1"/>
      <w:sz w:val="28"/>
    </w:rPr>
  </w:style>
  <w:style w:styleId="Style_15_ch" w:type="character">
    <w:name w:val="heading 1"/>
    <w:basedOn w:val="Style_1_ch"/>
    <w:link w:val="Style_15"/>
    <w:rPr>
      <w:b w:val="1"/>
      <w:sz w:val="28"/>
    </w:rPr>
  </w:style>
  <w:style w:styleId="Style_16" w:type="paragraph">
    <w:name w:val="Hyperlink"/>
    <w:link w:val="Style_16_ch"/>
    <w:rPr>
      <w:color w:val="0000FF"/>
      <w:u w:val="single"/>
    </w:rPr>
  </w:style>
  <w:style w:styleId="Style_16_ch" w:type="character">
    <w:name w:val="Hyperlink"/>
    <w:link w:val="Style_16"/>
    <w:rPr>
      <w:color w:val="0000FF"/>
      <w:u w:val="single"/>
    </w:rPr>
  </w:style>
  <w:style w:styleId="Style_17" w:type="paragraph">
    <w:name w:val="Footnote"/>
    <w:link w:val="Style_17_ch"/>
    <w:pPr>
      <w:ind w:firstLine="851" w:left="0"/>
      <w:jc w:val="both"/>
    </w:pPr>
    <w:rPr>
      <w:rFonts w:ascii="XO Thames" w:hAnsi="XO Thames"/>
      <w:sz w:val="22"/>
    </w:rPr>
  </w:style>
  <w:style w:styleId="Style_17_ch" w:type="character">
    <w:name w:val="Footnote"/>
    <w:link w:val="Style_17"/>
    <w:rPr>
      <w:rFonts w:ascii="XO Thames" w:hAnsi="XO Thames"/>
      <w:sz w:val="22"/>
    </w:rPr>
  </w:style>
  <w:style w:styleId="Style_18" w:type="paragraph">
    <w:name w:val="toc 1"/>
    <w:next w:val="Style_1"/>
    <w:link w:val="Style_18_ch"/>
    <w:uiPriority w:val="39"/>
    <w:pPr>
      <w:ind w:firstLine="0" w:left="0"/>
      <w:jc w:val="left"/>
    </w:pPr>
    <w:rPr>
      <w:rFonts w:ascii="XO Thames" w:hAnsi="XO Thames"/>
      <w:b w:val="1"/>
      <w:sz w:val="28"/>
    </w:rPr>
  </w:style>
  <w:style w:styleId="Style_18_ch" w:type="character">
    <w:name w:val="toc 1"/>
    <w:link w:val="Style_18"/>
    <w:rPr>
      <w:rFonts w:ascii="XO Thames" w:hAnsi="XO Thames"/>
      <w:b w:val="1"/>
      <w:sz w:val="28"/>
    </w:rPr>
  </w:style>
  <w:style w:styleId="Style_19" w:type="paragraph">
    <w:name w:val="Header and Footer"/>
    <w:link w:val="Style_19_ch"/>
    <w:pPr>
      <w:spacing w:line="240" w:lineRule="auto"/>
      <w:ind/>
      <w:jc w:val="both"/>
    </w:pPr>
    <w:rPr>
      <w:rFonts w:ascii="XO Thames" w:hAnsi="XO Thames"/>
      <w:sz w:val="20"/>
    </w:rPr>
  </w:style>
  <w:style w:styleId="Style_19_ch" w:type="character">
    <w:name w:val="Header and Footer"/>
    <w:link w:val="Style_19"/>
    <w:rPr>
      <w:rFonts w:ascii="XO Thames" w:hAnsi="XO Thames"/>
      <w:sz w:val="20"/>
    </w:rPr>
  </w:style>
  <w:style w:styleId="Style_20" w:type="paragraph">
    <w:name w:val="toc 9"/>
    <w:next w:val="Style_1"/>
    <w:link w:val="Style_20_ch"/>
    <w:uiPriority w:val="39"/>
    <w:pPr>
      <w:ind w:firstLine="0" w:left="1600"/>
      <w:jc w:val="left"/>
    </w:pPr>
    <w:rPr>
      <w:rFonts w:ascii="XO Thames" w:hAnsi="XO Thames"/>
      <w:sz w:val="28"/>
    </w:rPr>
  </w:style>
  <w:style w:styleId="Style_20_ch" w:type="character">
    <w:name w:val="toc 9"/>
    <w:link w:val="Style_20"/>
    <w:rPr>
      <w:rFonts w:ascii="XO Thames" w:hAnsi="XO Thames"/>
      <w:sz w:val="28"/>
    </w:rPr>
  </w:style>
  <w:style w:styleId="Style_21" w:type="paragraph">
    <w:name w:val="toc 8"/>
    <w:next w:val="Style_1"/>
    <w:link w:val="Style_21_ch"/>
    <w:uiPriority w:val="39"/>
    <w:pPr>
      <w:ind w:firstLine="0" w:left="1400"/>
      <w:jc w:val="left"/>
    </w:pPr>
    <w:rPr>
      <w:rFonts w:ascii="XO Thames" w:hAnsi="XO Thames"/>
      <w:sz w:val="28"/>
    </w:rPr>
  </w:style>
  <w:style w:styleId="Style_21_ch" w:type="character">
    <w:name w:val="toc 8"/>
    <w:link w:val="Style_21"/>
    <w:rPr>
      <w:rFonts w:ascii="XO Thames" w:hAnsi="XO Thames"/>
      <w:sz w:val="28"/>
    </w:rPr>
  </w:style>
  <w:style w:styleId="Style_22" w:type="paragraph">
    <w:name w:val="toc 5"/>
    <w:next w:val="Style_1"/>
    <w:link w:val="Style_22_ch"/>
    <w:uiPriority w:val="39"/>
    <w:pPr>
      <w:ind w:firstLine="0" w:left="800"/>
      <w:jc w:val="left"/>
    </w:pPr>
    <w:rPr>
      <w:rFonts w:ascii="XO Thames" w:hAnsi="XO Thames"/>
      <w:sz w:val="28"/>
    </w:rPr>
  </w:style>
  <w:style w:styleId="Style_22_ch" w:type="character">
    <w:name w:val="toc 5"/>
    <w:link w:val="Style_22"/>
    <w:rPr>
      <w:rFonts w:ascii="XO Thames" w:hAnsi="XO Thames"/>
      <w:sz w:val="28"/>
    </w:rPr>
  </w:style>
  <w:style w:styleId="Style_23" w:type="paragraph">
    <w:name w:val="Body Text 3"/>
    <w:basedOn w:val="Style_1"/>
    <w:link w:val="Style_23_ch"/>
    <w:pPr>
      <w:spacing w:after="120"/>
      <w:ind/>
    </w:pPr>
    <w:rPr>
      <w:sz w:val="16"/>
    </w:rPr>
  </w:style>
  <w:style w:styleId="Style_23_ch" w:type="character">
    <w:name w:val="Body Text 3"/>
    <w:basedOn w:val="Style_1_ch"/>
    <w:link w:val="Style_23"/>
    <w:rPr>
      <w:sz w:val="16"/>
    </w:rPr>
  </w:style>
  <w:style w:styleId="Style_24" w:type="paragraph">
    <w:name w:val="Body Text Indent 2"/>
    <w:basedOn w:val="Style_1"/>
    <w:link w:val="Style_24_ch"/>
    <w:pPr>
      <w:widowControl w:val="0"/>
      <w:spacing w:after="20" w:before="20"/>
      <w:ind w:firstLine="360" w:left="0" w:right="-8"/>
      <w:jc w:val="both"/>
    </w:pPr>
  </w:style>
  <w:style w:styleId="Style_24_ch" w:type="character">
    <w:name w:val="Body Text Indent 2"/>
    <w:basedOn w:val="Style_1_ch"/>
    <w:link w:val="Style_24"/>
  </w:style>
  <w:style w:styleId="Style_25" w:type="paragraph">
    <w:name w:val="List Paragraph"/>
    <w:basedOn w:val="Style_1"/>
    <w:link w:val="Style_25_ch"/>
    <w:pPr>
      <w:ind w:firstLine="0" w:left="720"/>
      <w:contextualSpacing w:val="1"/>
    </w:pPr>
  </w:style>
  <w:style w:styleId="Style_25_ch" w:type="character">
    <w:name w:val="List Paragraph"/>
    <w:basedOn w:val="Style_1_ch"/>
    <w:link w:val="Style_25"/>
  </w:style>
  <w:style w:styleId="Style_26" w:type="paragraph">
    <w:name w:val="Subtitle"/>
    <w:basedOn w:val="Style_1"/>
    <w:next w:val="Style_1"/>
    <w:link w:val="Style_26_ch"/>
    <w:uiPriority w:val="11"/>
    <w:qFormat/>
    <w:pPr>
      <w:keepNext w:val="1"/>
      <w:keepLines w:val="1"/>
      <w:spacing w:after="80" w:before="360"/>
      <w:ind/>
    </w:pPr>
    <w:rPr>
      <w:rFonts w:ascii="Georgia" w:hAnsi="Georgia"/>
      <w:i w:val="1"/>
      <w:color w:val="666666"/>
      <w:sz w:val="48"/>
    </w:rPr>
  </w:style>
  <w:style w:styleId="Style_26_ch" w:type="character">
    <w:name w:val="Subtitle"/>
    <w:basedOn w:val="Style_1_ch"/>
    <w:link w:val="Style_26"/>
    <w:rPr>
      <w:rFonts w:ascii="Georgia" w:hAnsi="Georgia"/>
      <w:i w:val="1"/>
      <w:color w:val="666666"/>
      <w:sz w:val="48"/>
    </w:rPr>
  </w:style>
  <w:style w:styleId="Style_27" w:type="paragraph">
    <w:name w:val="Title"/>
    <w:basedOn w:val="Style_1"/>
    <w:next w:val="Style_1"/>
    <w:link w:val="Style_27_ch"/>
    <w:uiPriority w:val="10"/>
    <w:qFormat/>
    <w:pPr>
      <w:keepNext w:val="1"/>
      <w:keepLines w:val="1"/>
      <w:spacing w:after="120" w:before="480"/>
      <w:ind/>
    </w:pPr>
    <w:rPr>
      <w:b w:val="1"/>
      <w:sz w:val="72"/>
    </w:rPr>
  </w:style>
  <w:style w:styleId="Style_27_ch" w:type="character">
    <w:name w:val="Title"/>
    <w:basedOn w:val="Style_1_ch"/>
    <w:link w:val="Style_27"/>
    <w:rPr>
      <w:b w:val="1"/>
      <w:sz w:val="72"/>
    </w:rPr>
  </w:style>
  <w:style w:styleId="Style_28" w:type="paragraph">
    <w:name w:val="heading 4"/>
    <w:basedOn w:val="Style_1"/>
    <w:next w:val="Style_1"/>
    <w:link w:val="Style_28_ch"/>
    <w:uiPriority w:val="9"/>
    <w:qFormat/>
    <w:pPr>
      <w:keepNext w:val="1"/>
      <w:keepLines w:val="1"/>
      <w:spacing w:after="40" w:before="240"/>
      <w:ind/>
      <w:outlineLvl w:val="3"/>
    </w:pPr>
    <w:rPr>
      <w:b w:val="1"/>
    </w:rPr>
  </w:style>
  <w:style w:styleId="Style_28_ch" w:type="character">
    <w:name w:val="heading 4"/>
    <w:basedOn w:val="Style_1_ch"/>
    <w:link w:val="Style_28"/>
    <w:rPr>
      <w:b w:val="1"/>
    </w:rPr>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default="1" w:styleId="Style_50" w:type="table">
    <w:name w:val="Normal Table"/>
    <w:tblPr>
      <w:tblInd w:type="dxa" w:w="0"/>
      <w:tblCellMar>
        <w:top w:type="dxa" w:w="0"/>
        <w:left w:type="dxa" w:w="108"/>
        <w:bottom w:type="dxa" w:w="0"/>
        <w:right w:type="dxa" w:w="108"/>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2023-12-23T18:22:19Z</dcterms:modified>
</cp:coreProperties>
</file>